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 Exam Board OCR H432</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Chemistry</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vertAlign w:val="baseline"/>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 passes at grade 4 and above AND have studied the sciences at GCSE level and have achieved 2 grade 6 passes in either GCSE Separate Sciences or GCSE Trilogy Science.  You must have a grade 5 in Maths at GCSE. </w:t>
      </w:r>
    </w:p>
    <w:p w:rsidR="00000000" w:rsidDel="00000000" w:rsidP="00000000" w:rsidRDefault="00000000" w:rsidRPr="00000000" w14:paraId="00000008">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‘A’ Level Chemistry course.</w:t>
      </w:r>
    </w:p>
    <w:p w:rsidR="00000000" w:rsidDel="00000000" w:rsidP="00000000" w:rsidRDefault="00000000" w:rsidRPr="00000000" w14:paraId="0000000B">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have the opportunity to develop a wide range of valuable key skills.  You will be able to develop essential knowledge and understanding of the concepts of Chemistry and how chemists use these to produce useful materials.  You will develop an understanding of the link between theory and experiment, and will be aware of how advances in instrumentation and IT are used in Chemistry.</w:t>
      </w:r>
    </w:p>
    <w:p w:rsidR="00000000" w:rsidDel="00000000" w:rsidP="00000000" w:rsidRDefault="00000000" w:rsidRPr="00000000" w14:paraId="0000000E">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Is inquisitive about the contributions of Chemistry to society and the responsible use of scientific knowledge and evidence.  The course is designed to sustain and develop your enjoyment and interest in Chemistry.</w:t>
      </w:r>
    </w:p>
    <w:p w:rsidR="00000000" w:rsidDel="00000000" w:rsidP="00000000" w:rsidRDefault="00000000" w:rsidRPr="00000000" w14:paraId="00000011">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3">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Study four modules for AS level Chemistry, or six modules for A level Chemistry. Practical work will be an important part of the course and practical skills will be assessed in the examination papers.  There will be an additional endorsement of practical skills as part of A level Chemistry.</w:t>
      </w:r>
    </w:p>
    <w:p w:rsidR="00000000" w:rsidDel="00000000" w:rsidP="00000000" w:rsidRDefault="00000000" w:rsidRPr="00000000" w14:paraId="00000014">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6">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1: Development of practical skills</w:t>
      </w:r>
    </w:p>
    <w:p w:rsidR="00000000" w:rsidDel="00000000" w:rsidP="00000000" w:rsidRDefault="00000000" w:rsidRPr="00000000" w14:paraId="00000017">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2: Foundations in Chemistry</w:t>
      </w:r>
    </w:p>
    <w:p w:rsidR="00000000" w:rsidDel="00000000" w:rsidP="00000000" w:rsidRDefault="00000000" w:rsidRPr="00000000" w14:paraId="00000018">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3: Periodic table &amp; energy</w:t>
      </w:r>
    </w:p>
    <w:p w:rsidR="00000000" w:rsidDel="00000000" w:rsidP="00000000" w:rsidRDefault="00000000" w:rsidRPr="00000000" w14:paraId="00000019">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4: Core organic Chemistry</w:t>
      </w:r>
    </w:p>
    <w:p w:rsidR="00000000" w:rsidDel="00000000" w:rsidP="00000000" w:rsidRDefault="00000000" w:rsidRPr="00000000" w14:paraId="0000001A">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5: Physical Chemistry and transition elements</w:t>
      </w:r>
    </w:p>
    <w:p w:rsidR="00000000" w:rsidDel="00000000" w:rsidP="00000000" w:rsidRDefault="00000000" w:rsidRPr="00000000" w14:paraId="0000001B">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6: Organic Chemistry and analysis</w:t>
      </w:r>
    </w:p>
    <w:p w:rsidR="00000000" w:rsidDel="00000000" w:rsidP="00000000" w:rsidRDefault="00000000" w:rsidRPr="00000000" w14:paraId="0000001C">
      <w:pPr>
        <w:numPr>
          <w:ilvl w:val="0"/>
          <w:numId w:val="1"/>
        </w:numPr>
        <w:tabs>
          <w:tab w:val="left" w:leader="none" w:pos="576"/>
        </w:tabs>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Practical endorsement (A level only)</w:t>
      </w:r>
      <w:r w:rsidDel="00000000" w:rsidR="00000000" w:rsidRPr="00000000">
        <w:rPr>
          <w:rtl w:val="0"/>
        </w:rPr>
      </w:r>
    </w:p>
    <w:p w:rsidR="00000000" w:rsidDel="00000000" w:rsidP="00000000" w:rsidRDefault="00000000" w:rsidRPr="00000000" w14:paraId="0000001D">
      <w:pPr>
        <w:ind w:left="720" w:firstLine="0"/>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1E">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F">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0">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1">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2">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3">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4">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5">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University to study any degree course, but especially in a Science discipline.  The course is also essential for anyone considering courses in medicine, dentistry, veterinary science, pharmacology,</w:t>
      </w:r>
      <w:r w:rsidDel="00000000" w:rsidR="00000000" w:rsidRPr="00000000">
        <w:rPr>
          <w:rFonts w:ascii="Lexend Medium" w:cs="Lexend Medium" w:eastAsia="Lexend Medium" w:hAnsi="Lexend Medium"/>
          <w:sz w:val="22"/>
          <w:szCs w:val="22"/>
          <w:u w:val="single"/>
          <w:rtl w:val="0"/>
        </w:rPr>
        <w:t xml:space="preserve"> </w:t>
      </w:r>
      <w:r w:rsidDel="00000000" w:rsidR="00000000" w:rsidRPr="00000000">
        <w:rPr>
          <w:rFonts w:ascii="Lexend Medium" w:cs="Lexend Medium" w:eastAsia="Lexend Medium" w:hAnsi="Lexend Medium"/>
          <w:sz w:val="22"/>
          <w:szCs w:val="22"/>
          <w:rtl w:val="0"/>
        </w:rPr>
        <w:t xml:space="preserve">pharmacy, materials science and biochemistry.  Chemists are not only employed by the Chemical Industry or in specialised research.  Other professions such as accountancy, law, personnel and management seek to employ them too because they recognise the rigorous course they have followed, which involved a high level of numeracy, problem solving and communication skills.</w:t>
      </w:r>
    </w:p>
    <w:p w:rsidR="00000000" w:rsidDel="00000000" w:rsidP="00000000" w:rsidRDefault="00000000" w:rsidRPr="00000000" w14:paraId="0000002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7">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8">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9">
      <w:pPr>
        <w:jc w:val="both"/>
        <w:rPr>
          <w:rFonts w:ascii="Lexend Medium" w:cs="Lexend Medium" w:eastAsia="Lexend Medium" w:hAnsi="Lexend Medium"/>
          <w:color w:val="ffffff"/>
          <w:sz w:val="32"/>
          <w:szCs w:val="32"/>
          <w:highlight w:val="black"/>
        </w:rPr>
      </w:pPr>
      <w:r w:rsidDel="00000000" w:rsidR="00000000" w:rsidRPr="00000000">
        <w:rPr>
          <w:rFonts w:ascii="Lexend Medium" w:cs="Lexend Medium" w:eastAsia="Lexend Medium" w:hAnsi="Lexend Medium"/>
          <w:color w:val="ffffff"/>
          <w:sz w:val="32"/>
          <w:szCs w:val="32"/>
          <w:highlight w:val="black"/>
          <w:rtl w:val="0"/>
        </w:rPr>
        <w:t xml:space="preserve">Assessment </w:t>
      </w:r>
    </w:p>
    <w:p w:rsidR="00000000" w:rsidDel="00000000" w:rsidP="00000000" w:rsidRDefault="00000000" w:rsidRPr="00000000" w14:paraId="0000002A">
      <w:pPr>
        <w:jc w:val="both"/>
        <w:rPr>
          <w:rFonts w:ascii="Lexend" w:cs="Lexend" w:eastAsia="Lexend" w:hAnsi="Lexend"/>
          <w:b w:val="1"/>
          <w:sz w:val="22"/>
          <w:szCs w:val="22"/>
          <w:u w:val="single"/>
        </w:rPr>
      </w:pPr>
      <w:r w:rsidDel="00000000" w:rsidR="00000000" w:rsidRPr="00000000">
        <w:rPr>
          <w:rFonts w:ascii="Lexend" w:cs="Lexend" w:eastAsia="Lexend" w:hAnsi="Lexend"/>
          <w:b w:val="1"/>
          <w:sz w:val="22"/>
          <w:szCs w:val="22"/>
          <w:u w:val="single"/>
          <w:rtl w:val="0"/>
        </w:rPr>
        <w:t xml:space="preserve">A Level</w:t>
      </w:r>
    </w:p>
    <w:p w:rsidR="00000000" w:rsidDel="00000000" w:rsidP="00000000" w:rsidRDefault="00000000" w:rsidRPr="00000000" w14:paraId="0000002B">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There will be three papers, based on modules 1 to 6.</w:t>
      </w:r>
    </w:p>
    <w:p w:rsidR="00000000" w:rsidDel="00000000" w:rsidP="00000000" w:rsidRDefault="00000000" w:rsidRPr="00000000" w14:paraId="0000002C">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paper 1: Periodic table, elements and physical chemistry</w:t>
      </w:r>
    </w:p>
    <w:p w:rsidR="00000000" w:rsidDel="00000000" w:rsidP="00000000" w:rsidRDefault="00000000" w:rsidRPr="00000000" w14:paraId="0000002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paper 2: Synthesis and analytical techniques</w:t>
      </w:r>
    </w:p>
    <w:p w:rsidR="00000000" w:rsidDel="00000000" w:rsidP="00000000" w:rsidRDefault="00000000" w:rsidRPr="00000000" w14:paraId="0000002E">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paper 3: Unified Chemistry</w:t>
      </w:r>
    </w:p>
    <w:p w:rsidR="00000000" w:rsidDel="00000000" w:rsidP="00000000" w:rsidRDefault="00000000" w:rsidRPr="00000000" w14:paraId="0000002F">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A level practical endorsement (reported separately)</w:t>
      </w:r>
    </w:p>
    <w:p w:rsidR="00000000" w:rsidDel="00000000" w:rsidP="00000000" w:rsidRDefault="00000000" w:rsidRPr="00000000" w14:paraId="00000030">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31">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32">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3">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C Ward (Chemistry teacher)       cward@ndonlin.org</w:t>
      </w:r>
    </w:p>
    <w:p w:rsidR="00000000" w:rsidDel="00000000" w:rsidP="00000000" w:rsidRDefault="00000000" w:rsidRPr="00000000" w14:paraId="00000034">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 T Rebhan (Head of Science)         trebhan@ndonline.org</w:t>
      </w:r>
    </w:p>
    <w:p w:rsidR="00000000" w:rsidDel="00000000" w:rsidP="00000000" w:rsidRDefault="00000000" w:rsidRPr="00000000" w14:paraId="00000035">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6">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37">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bYxx4K8qOwyQm7S+N4CIQH6sg==">CgMxLjA4AHIhMXVoeVc5OVF0SGZ3TWRmVmtZZFAxV0ZLbHV2NzRyZ1gw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